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45" w:rsidRDefault="004D1945" w:rsidP="00874F4B">
      <w:pPr>
        <w:pStyle w:val="Titre1"/>
      </w:pPr>
      <w:r>
        <w:t xml:space="preserve">POINT SUR LES CONSEILLERS RH DE PROXIMITE </w:t>
      </w:r>
    </w:p>
    <w:p w:rsidR="00934843" w:rsidRPr="00AE086F" w:rsidRDefault="00AE086F" w:rsidP="00AE086F">
      <w:pPr>
        <w:pStyle w:val="Titre2"/>
        <w:rPr>
          <w:b w:val="0"/>
        </w:rPr>
      </w:pPr>
      <w:r>
        <w:t xml:space="preserve">En introduction, </w:t>
      </w:r>
      <w:r w:rsidRPr="00AE086F">
        <w:rPr>
          <w:b w:val="0"/>
        </w:rPr>
        <w:t xml:space="preserve">il faut rappeler </w:t>
      </w:r>
      <w:r>
        <w:rPr>
          <w:b w:val="0"/>
        </w:rPr>
        <w:t>que l</w:t>
      </w:r>
      <w:r w:rsidR="004D1945" w:rsidRPr="00AE086F">
        <w:rPr>
          <w:b w:val="0"/>
        </w:rPr>
        <w:t>’un des objectif</w:t>
      </w:r>
      <w:r>
        <w:rPr>
          <w:b w:val="0"/>
        </w:rPr>
        <w:t>s</w:t>
      </w:r>
      <w:r w:rsidR="004D1945" w:rsidRPr="00AE086F">
        <w:rPr>
          <w:b w:val="0"/>
        </w:rPr>
        <w:t xml:space="preserve"> du GRENELLE de l’EDUCATION est de transformer en profondeur la GRH du MENJS</w:t>
      </w:r>
      <w:r>
        <w:rPr>
          <w:b w:val="0"/>
        </w:rPr>
        <w:t xml:space="preserve"> pour développer </w:t>
      </w:r>
      <w:r w:rsidR="009A0A67">
        <w:rPr>
          <w:b w:val="0"/>
        </w:rPr>
        <w:t xml:space="preserve">notamment </w:t>
      </w:r>
      <w:bookmarkStart w:id="0" w:name="_GoBack"/>
      <w:bookmarkEnd w:id="0"/>
      <w:r>
        <w:rPr>
          <w:b w:val="0"/>
        </w:rPr>
        <w:t>une gestion de proximité</w:t>
      </w:r>
      <w:r w:rsidR="004D1945" w:rsidRPr="00AE086F">
        <w:rPr>
          <w:b w:val="0"/>
        </w:rPr>
        <w:t>.</w:t>
      </w:r>
      <w:r w:rsidR="004D1945">
        <w:t xml:space="preserve"> </w:t>
      </w:r>
      <w:r w:rsidRPr="00AE086F">
        <w:rPr>
          <w:b w:val="0"/>
        </w:rPr>
        <w:t>L’idée est en particulier que la G</w:t>
      </w:r>
      <w:r>
        <w:rPr>
          <w:b w:val="0"/>
        </w:rPr>
        <w:t>RH soit</w:t>
      </w:r>
      <w:r w:rsidR="00934843" w:rsidRPr="00AE086F">
        <w:rPr>
          <w:b w:val="0"/>
        </w:rPr>
        <w:t xml:space="preserve"> un objet partagé et l’affaire de tous</w:t>
      </w:r>
      <w:r w:rsidRPr="00AE086F">
        <w:rPr>
          <w:b w:val="0"/>
        </w:rPr>
        <w:t xml:space="preserve"> les acteurs RH</w:t>
      </w:r>
      <w:r>
        <w:rPr>
          <w:b w:val="0"/>
        </w:rPr>
        <w:t xml:space="preserve"> au sein de l’institution</w:t>
      </w:r>
      <w:r w:rsidRPr="00AE086F">
        <w:rPr>
          <w:b w:val="0"/>
        </w:rPr>
        <w:t>.</w:t>
      </w:r>
      <w:r>
        <w:t xml:space="preserve"> </w:t>
      </w:r>
      <w:r w:rsidRPr="00AE086F">
        <w:rPr>
          <w:b w:val="0"/>
        </w:rPr>
        <w:t>L’ambition est ainsi de c</w:t>
      </w:r>
      <w:r w:rsidR="00934843" w:rsidRPr="00AE086F">
        <w:rPr>
          <w:b w:val="0"/>
        </w:rPr>
        <w:t xml:space="preserve">réer un écosystème de l’accompagnement personnalisé </w:t>
      </w:r>
      <w:r>
        <w:rPr>
          <w:b w:val="0"/>
        </w:rPr>
        <w:t xml:space="preserve">de l’ensemble des personnels du ministère </w:t>
      </w:r>
      <w:r w:rsidRPr="00AE086F">
        <w:rPr>
          <w:b w:val="0"/>
        </w:rPr>
        <w:t xml:space="preserve">dont les conseillers RH de proximité constitueraient un </w:t>
      </w:r>
      <w:r>
        <w:rPr>
          <w:b w:val="0"/>
        </w:rPr>
        <w:t xml:space="preserve">des </w:t>
      </w:r>
      <w:r w:rsidRPr="00AE086F">
        <w:rPr>
          <w:b w:val="0"/>
        </w:rPr>
        <w:t>maillon</w:t>
      </w:r>
      <w:r>
        <w:rPr>
          <w:b w:val="0"/>
        </w:rPr>
        <w:t>s</w:t>
      </w:r>
      <w:r w:rsidRPr="00AE086F">
        <w:rPr>
          <w:b w:val="0"/>
        </w:rPr>
        <w:t xml:space="preserve">. </w:t>
      </w:r>
      <w:r w:rsidR="00934843" w:rsidRPr="00AE086F">
        <w:rPr>
          <w:b w:val="0"/>
        </w:rPr>
        <w:t xml:space="preserve"> </w:t>
      </w:r>
    </w:p>
    <w:p w:rsidR="00934843" w:rsidRDefault="00934843" w:rsidP="00934843"/>
    <w:p w:rsidR="003F2AB9" w:rsidRDefault="003F2AB9" w:rsidP="003A0B65">
      <w:pPr>
        <w:pStyle w:val="Titre1"/>
      </w:pPr>
      <w:r>
        <w:t xml:space="preserve">Bilan des </w:t>
      </w:r>
      <w:r w:rsidR="004D1945">
        <w:t xml:space="preserve">conseillers </w:t>
      </w:r>
      <w:r>
        <w:t>RH de proximité</w:t>
      </w:r>
    </w:p>
    <w:p w:rsidR="00874F4B" w:rsidRPr="00245349" w:rsidRDefault="00874F4B" w:rsidP="00874F4B">
      <w:pPr>
        <w:pStyle w:val="Titre2"/>
      </w:pPr>
      <w:r w:rsidRPr="00245349">
        <w:t>Cadre réglementaire</w:t>
      </w:r>
    </w:p>
    <w:p w:rsidR="00874F4B" w:rsidRDefault="00874F4B" w:rsidP="00874F4B">
      <w:proofErr w:type="gramStart"/>
      <w:r w:rsidRPr="003F2AB9">
        <w:t xml:space="preserve">La </w:t>
      </w:r>
      <w:hyperlink r:id="rId8" w:history="1">
        <w:r w:rsidRPr="003F2AB9">
          <w:rPr>
            <w:rStyle w:val="Lienhypertexte"/>
          </w:rPr>
          <w:t>circulaire n° 2019-105</w:t>
        </w:r>
      </w:hyperlink>
      <w:proofErr w:type="gramEnd"/>
      <w:r w:rsidRPr="003F2AB9">
        <w:t xml:space="preserve"> du 17 juillet 2019</w:t>
      </w:r>
      <w:r>
        <w:t xml:space="preserve"> cadre la gestion de proximité et du service rendu suivant quatre missions :</w:t>
      </w:r>
    </w:p>
    <w:p w:rsidR="00874F4B" w:rsidRPr="003F2AB9" w:rsidRDefault="00874F4B" w:rsidP="00874F4B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F2AB9">
        <w:rPr>
          <w:rFonts w:asciiTheme="minorHAnsi" w:hAnsiTheme="minorHAnsi"/>
          <w:b/>
          <w:bCs/>
          <w:sz w:val="22"/>
          <w:szCs w:val="22"/>
        </w:rPr>
        <w:t>Un accompagnement individuel des personnels</w:t>
      </w:r>
      <w:r w:rsidRPr="003F2AB9">
        <w:rPr>
          <w:rFonts w:asciiTheme="minorHAnsi" w:hAnsiTheme="minorHAnsi"/>
          <w:sz w:val="22"/>
          <w:szCs w:val="22"/>
        </w:rPr>
        <w:t> : parcours de carrière, évolution professionnelle, projet de mobilité, projet de formation</w:t>
      </w:r>
      <w:r>
        <w:rPr>
          <w:rFonts w:asciiTheme="minorHAnsi" w:hAnsiTheme="minorHAnsi"/>
          <w:sz w:val="22"/>
          <w:szCs w:val="22"/>
        </w:rPr>
        <w:t> ;</w:t>
      </w:r>
    </w:p>
    <w:p w:rsidR="00874F4B" w:rsidRPr="003F2AB9" w:rsidRDefault="00874F4B" w:rsidP="00874F4B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F2AB9">
        <w:rPr>
          <w:rFonts w:asciiTheme="minorHAnsi" w:hAnsiTheme="minorHAnsi"/>
          <w:b/>
          <w:bCs/>
          <w:sz w:val="22"/>
          <w:szCs w:val="22"/>
        </w:rPr>
        <w:t xml:space="preserve">Un soutien aux personnels en difficulté </w:t>
      </w:r>
      <w:r w:rsidRPr="003F2AB9">
        <w:rPr>
          <w:rFonts w:asciiTheme="minorHAnsi" w:hAnsiTheme="minorHAnsi"/>
          <w:sz w:val="22"/>
          <w:szCs w:val="22"/>
        </w:rPr>
        <w:t>et victimes d’atteintes à leur image ou à leur intégrité</w:t>
      </w:r>
      <w:r>
        <w:rPr>
          <w:rFonts w:asciiTheme="minorHAnsi" w:hAnsiTheme="minorHAnsi"/>
          <w:sz w:val="22"/>
          <w:szCs w:val="22"/>
        </w:rPr>
        <w:t> ;</w:t>
      </w:r>
    </w:p>
    <w:p w:rsidR="00874F4B" w:rsidRPr="003F2AB9" w:rsidRDefault="00874F4B" w:rsidP="00874F4B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F2AB9">
        <w:rPr>
          <w:rFonts w:asciiTheme="minorHAnsi" w:hAnsiTheme="minorHAnsi"/>
          <w:b/>
          <w:bCs/>
          <w:sz w:val="22"/>
          <w:szCs w:val="22"/>
        </w:rPr>
        <w:t xml:space="preserve">Un appui de premier niveau aux responsables hiérarchiques locaux </w:t>
      </w:r>
      <w:r w:rsidRPr="003F2AB9">
        <w:rPr>
          <w:rFonts w:asciiTheme="minorHAnsi" w:hAnsiTheme="minorHAnsi"/>
          <w:sz w:val="22"/>
          <w:szCs w:val="22"/>
        </w:rPr>
        <w:t>– inspecteurs, chefs de services académiques, chefs d’établissement, directeurs d’école – pour la gestion managériale de leur établissement, service ou circonscription</w:t>
      </w:r>
      <w:r>
        <w:rPr>
          <w:rFonts w:asciiTheme="minorHAnsi" w:hAnsiTheme="minorHAnsi"/>
          <w:sz w:val="22"/>
          <w:szCs w:val="22"/>
        </w:rPr>
        <w:t> ;</w:t>
      </w:r>
    </w:p>
    <w:p w:rsidR="00874F4B" w:rsidRDefault="00874F4B" w:rsidP="00874F4B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F2AB9">
        <w:rPr>
          <w:rFonts w:asciiTheme="minorHAnsi" w:hAnsiTheme="minorHAnsi"/>
          <w:b/>
          <w:bCs/>
          <w:sz w:val="22"/>
          <w:szCs w:val="22"/>
        </w:rPr>
        <w:t xml:space="preserve">Une collaboration avec les bassins d’emplois locaux </w:t>
      </w:r>
      <w:r w:rsidRPr="003F2AB9">
        <w:rPr>
          <w:rFonts w:asciiTheme="minorHAnsi" w:hAnsiTheme="minorHAnsi"/>
          <w:sz w:val="22"/>
          <w:szCs w:val="22"/>
        </w:rPr>
        <w:t>pour faciliter les mobilités entre les fonctions publiques et aider à la constitution de viviers de ressources</w:t>
      </w:r>
      <w:r>
        <w:rPr>
          <w:rFonts w:asciiTheme="minorHAnsi" w:hAnsiTheme="minorHAnsi"/>
          <w:sz w:val="22"/>
          <w:szCs w:val="22"/>
        </w:rPr>
        <w:t>.</w:t>
      </w:r>
    </w:p>
    <w:p w:rsidR="00874F4B" w:rsidRDefault="00874F4B" w:rsidP="00874F4B">
      <w:pPr>
        <w:pStyle w:val="Paragraphedeliste"/>
        <w:rPr>
          <w:rFonts w:asciiTheme="minorHAnsi" w:hAnsiTheme="minorHAnsi"/>
          <w:sz w:val="22"/>
          <w:szCs w:val="22"/>
        </w:rPr>
      </w:pPr>
    </w:p>
    <w:p w:rsidR="004D2AC2" w:rsidRPr="004D2AC2" w:rsidRDefault="004D2AC2" w:rsidP="004D2AC2">
      <w:pPr>
        <w:pStyle w:val="Titre3"/>
      </w:pPr>
      <w:r>
        <w:t>Les conseillers des RH de proximité</w:t>
      </w:r>
    </w:p>
    <w:p w:rsidR="00930D29" w:rsidRDefault="00930D29" w:rsidP="004D2AC2">
      <w:pPr>
        <w:pStyle w:val="Titre4"/>
      </w:pPr>
      <w:r>
        <w:t>Augmentation du nombre de conseillers RH de proximité</w:t>
      </w:r>
    </w:p>
    <w:p w:rsidR="003F2AB9" w:rsidRDefault="00AE086F" w:rsidP="003F2AB9">
      <w:r>
        <w:t xml:space="preserve">35 en juillet 2019, </w:t>
      </w:r>
      <w:r w:rsidR="00930D29">
        <w:t>234 en novembre 2019 (année d</w:t>
      </w:r>
      <w:r>
        <w:t>e mise en place du dispositif), leur nombre est passé à</w:t>
      </w:r>
      <w:r w:rsidR="00930D29">
        <w:t xml:space="preserve"> </w:t>
      </w:r>
      <w:r w:rsidR="00930D29" w:rsidRPr="00930D29">
        <w:rPr>
          <w:b/>
        </w:rPr>
        <w:t>311 en juillet 2020</w:t>
      </w:r>
      <w:r w:rsidR="00930D29">
        <w:t xml:space="preserve"> (à la fin de la première année de généralisation du dispositif) ; </w:t>
      </w:r>
      <w:r>
        <w:t>la densification va être poursuivie</w:t>
      </w:r>
      <w:r w:rsidR="00930D29">
        <w:t xml:space="preserve"> en 2020-2021.</w:t>
      </w:r>
    </w:p>
    <w:p w:rsidR="00930D29" w:rsidRPr="00930D29" w:rsidRDefault="00930D29" w:rsidP="003F2AB9">
      <w:pPr>
        <w:rPr>
          <w:rFonts w:asciiTheme="minorHAnsi" w:hAnsiTheme="minorHAnsi"/>
        </w:rPr>
      </w:pPr>
      <w:r w:rsidRPr="00930D29">
        <w:rPr>
          <w:rFonts w:asciiTheme="minorHAnsi" w:hAnsiTheme="minorHAnsi"/>
        </w:rPr>
        <w:t>Ils se répartissent en :</w:t>
      </w:r>
    </w:p>
    <w:p w:rsidR="00930D29" w:rsidRPr="00930D29" w:rsidRDefault="00930D29" w:rsidP="00930D29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30D29">
        <w:rPr>
          <w:rFonts w:asciiTheme="minorHAnsi" w:hAnsiTheme="minorHAnsi"/>
          <w:sz w:val="22"/>
          <w:szCs w:val="22"/>
        </w:rPr>
        <w:t>197 administratifs (y compris agents gestionnaires)</w:t>
      </w:r>
      <w:r>
        <w:rPr>
          <w:rFonts w:asciiTheme="minorHAnsi" w:hAnsiTheme="minorHAnsi"/>
          <w:sz w:val="22"/>
          <w:szCs w:val="22"/>
        </w:rPr>
        <w:t xml:space="preserve"> soit 64 % des conseillers</w:t>
      </w:r>
      <w:r w:rsidRPr="00930D29">
        <w:rPr>
          <w:rFonts w:asciiTheme="minorHAnsi" w:hAnsiTheme="minorHAnsi"/>
          <w:sz w:val="22"/>
          <w:szCs w:val="22"/>
        </w:rPr>
        <w:t>,</w:t>
      </w:r>
    </w:p>
    <w:p w:rsidR="00930D29" w:rsidRPr="00930D29" w:rsidRDefault="00930D29" w:rsidP="00930D29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30D29">
        <w:rPr>
          <w:rFonts w:asciiTheme="minorHAnsi" w:hAnsiTheme="minorHAnsi"/>
          <w:sz w:val="22"/>
          <w:szCs w:val="22"/>
        </w:rPr>
        <w:t>50 enseignants et personnels d’éducation</w:t>
      </w:r>
      <w:r>
        <w:rPr>
          <w:rFonts w:asciiTheme="minorHAnsi" w:hAnsiTheme="minorHAnsi"/>
          <w:sz w:val="22"/>
          <w:szCs w:val="22"/>
        </w:rPr>
        <w:t xml:space="preserve"> soit 16 % des conseillers</w:t>
      </w:r>
      <w:r w:rsidRPr="00930D29">
        <w:rPr>
          <w:rFonts w:asciiTheme="minorHAnsi" w:hAnsiTheme="minorHAnsi"/>
          <w:sz w:val="22"/>
          <w:szCs w:val="22"/>
        </w:rPr>
        <w:t>,</w:t>
      </w:r>
    </w:p>
    <w:p w:rsidR="00930D29" w:rsidRPr="00930D29" w:rsidRDefault="00930D29" w:rsidP="00930D29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30D29">
        <w:rPr>
          <w:rFonts w:asciiTheme="minorHAnsi" w:hAnsiTheme="minorHAnsi"/>
          <w:sz w:val="22"/>
          <w:szCs w:val="22"/>
        </w:rPr>
        <w:t>32 contractuels (y compris psychologues de l'éducation nationale)</w:t>
      </w:r>
      <w:r>
        <w:rPr>
          <w:rFonts w:asciiTheme="minorHAnsi" w:hAnsiTheme="minorHAnsi"/>
          <w:sz w:val="22"/>
          <w:szCs w:val="22"/>
        </w:rPr>
        <w:t xml:space="preserve"> soit 10 % des conseillers</w:t>
      </w:r>
      <w:r w:rsidRPr="00930D29">
        <w:rPr>
          <w:rFonts w:asciiTheme="minorHAnsi" w:hAnsiTheme="minorHAnsi"/>
          <w:sz w:val="22"/>
          <w:szCs w:val="22"/>
        </w:rPr>
        <w:t>,</w:t>
      </w:r>
    </w:p>
    <w:p w:rsidR="00930D29" w:rsidRPr="00930D29" w:rsidRDefault="00930D29" w:rsidP="00930D29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30D29">
        <w:rPr>
          <w:rFonts w:asciiTheme="minorHAnsi" w:hAnsiTheme="minorHAnsi"/>
          <w:sz w:val="22"/>
          <w:szCs w:val="22"/>
        </w:rPr>
        <w:t xml:space="preserve">31 personnels de direction et inspecteurs </w:t>
      </w:r>
      <w:r>
        <w:rPr>
          <w:rFonts w:asciiTheme="minorHAnsi" w:hAnsiTheme="minorHAnsi"/>
          <w:sz w:val="22"/>
          <w:szCs w:val="22"/>
        </w:rPr>
        <w:t>soit 10 % des conseillers</w:t>
      </w:r>
      <w:r w:rsidRPr="00930D29">
        <w:rPr>
          <w:rFonts w:asciiTheme="minorHAnsi" w:hAnsiTheme="minorHAnsi"/>
          <w:sz w:val="22"/>
          <w:szCs w:val="22"/>
        </w:rPr>
        <w:t>.</w:t>
      </w:r>
    </w:p>
    <w:p w:rsidR="003F2AB9" w:rsidRDefault="00930D29" w:rsidP="004D2AC2">
      <w:pPr>
        <w:pStyle w:val="Titre4"/>
      </w:pPr>
      <w:r>
        <w:t>Quotité de travail</w:t>
      </w:r>
    </w:p>
    <w:p w:rsidR="003F2AB9" w:rsidRDefault="00930D29" w:rsidP="003F2AB9">
      <w:r>
        <w:t>Elle est équivalente à 56 %, ce qui représente 174 conseillers à temps plein.</w:t>
      </w:r>
    </w:p>
    <w:p w:rsidR="00930D29" w:rsidRDefault="00930D29" w:rsidP="003F2AB9">
      <w:r>
        <w:t>45 % des conseillers sont à 100 % de leur temps de travail,</w:t>
      </w:r>
    </w:p>
    <w:p w:rsidR="00930D29" w:rsidRDefault="00930D29" w:rsidP="00930D29">
      <w:r>
        <w:t>17 % des conseillers sont entre 50 % et 100 % de leur temps de travail,</w:t>
      </w:r>
    </w:p>
    <w:p w:rsidR="00930D29" w:rsidRDefault="00930D29" w:rsidP="00930D29">
      <w:r>
        <w:t>38 % des conseillers sont entre 10 % et 50 % de leur temps de travail,</w:t>
      </w:r>
    </w:p>
    <w:p w:rsidR="003F2AB9" w:rsidRDefault="004D2AC2" w:rsidP="004D2AC2">
      <w:pPr>
        <w:pStyle w:val="Titre4"/>
      </w:pPr>
      <w:r>
        <w:t>Implantation des conseillers</w:t>
      </w:r>
    </w:p>
    <w:p w:rsidR="004D2AC2" w:rsidRDefault="004D2AC2" w:rsidP="003F2AB9">
      <w:r>
        <w:t>Ils sont essentiellement dans des permanences qui se situent :</w:t>
      </w:r>
    </w:p>
    <w:p w:rsidR="004D2AC2" w:rsidRPr="004D2AC2" w:rsidRDefault="004D2AC2" w:rsidP="004D2AC2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4D2AC2">
        <w:rPr>
          <w:rFonts w:asciiTheme="minorHAnsi" w:hAnsiTheme="minorHAnsi"/>
          <w:sz w:val="22"/>
          <w:szCs w:val="22"/>
        </w:rPr>
        <w:t>référentiellement dans des établissements scolaires et en circonscriptions (48 %)</w:t>
      </w:r>
    </w:p>
    <w:p w:rsidR="004D2AC2" w:rsidRPr="004D2AC2" w:rsidRDefault="004D2AC2" w:rsidP="004D2AC2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4D2AC2">
        <w:rPr>
          <w:rFonts w:asciiTheme="minorHAnsi" w:hAnsiTheme="minorHAnsi"/>
          <w:sz w:val="22"/>
          <w:szCs w:val="22"/>
        </w:rPr>
        <w:t>n DSDEN (32 %),</w:t>
      </w:r>
    </w:p>
    <w:p w:rsidR="004D2AC2" w:rsidRPr="004D2AC2" w:rsidRDefault="004D2AC2" w:rsidP="004D2AC2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4D2AC2">
        <w:rPr>
          <w:rFonts w:asciiTheme="minorHAnsi" w:hAnsiTheme="minorHAnsi"/>
          <w:sz w:val="22"/>
          <w:szCs w:val="22"/>
        </w:rPr>
        <w:t>u rectorat (18 %),</w:t>
      </w:r>
    </w:p>
    <w:p w:rsidR="00AE086F" w:rsidRPr="00AE086F" w:rsidRDefault="004D2AC2" w:rsidP="00AE086F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4D2AC2">
        <w:rPr>
          <w:rFonts w:asciiTheme="minorHAnsi" w:hAnsiTheme="minorHAnsi"/>
          <w:sz w:val="22"/>
          <w:szCs w:val="22"/>
        </w:rPr>
        <w:t>dans d’autres lieux comme les CIO, Greta ou université (2 %).</w:t>
      </w:r>
    </w:p>
    <w:p w:rsidR="00245349" w:rsidRDefault="00245349" w:rsidP="00245349">
      <w:pPr>
        <w:pStyle w:val="Titre4"/>
      </w:pPr>
      <w:r>
        <w:lastRenderedPageBreak/>
        <w:t>Formation des conseillers : une logique de parcours de formation adapté</w:t>
      </w:r>
    </w:p>
    <w:p w:rsidR="00245349" w:rsidRDefault="00123CCE" w:rsidP="00245349">
      <w:pPr>
        <w:rPr>
          <w:rFonts w:asciiTheme="minorHAnsi" w:hAnsiTheme="minorHAnsi"/>
        </w:rPr>
      </w:pPr>
      <w:r>
        <w:rPr>
          <w:rFonts w:asciiTheme="minorHAnsi" w:hAnsiTheme="minorHAnsi"/>
        </w:rPr>
        <w:t>Depuis juillet 2019 : f</w:t>
      </w:r>
      <w:r w:rsidR="00245349">
        <w:rPr>
          <w:rFonts w:asciiTheme="minorHAnsi" w:hAnsiTheme="minorHAnsi"/>
        </w:rPr>
        <w:t>ormation à l’adaptation</w:t>
      </w:r>
      <w:r>
        <w:rPr>
          <w:rFonts w:asciiTheme="minorHAnsi" w:hAnsiTheme="minorHAnsi"/>
        </w:rPr>
        <w:t xml:space="preserve"> à l’emploi</w:t>
      </w:r>
      <w:r w:rsidR="0024534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des conseillers sur un mode </w:t>
      </w:r>
      <w:r w:rsidR="00245349">
        <w:rPr>
          <w:rFonts w:asciiTheme="minorHAnsi" w:hAnsiTheme="minorHAnsi"/>
        </w:rPr>
        <w:t xml:space="preserve">hybride et certifiant à l’IH2EF afin de constituer une culture commune avec notamment </w:t>
      </w:r>
      <w:r>
        <w:rPr>
          <w:rFonts w:asciiTheme="minorHAnsi" w:hAnsiTheme="minorHAnsi"/>
        </w:rPr>
        <w:t>un temps long d’immersion en académie (compléments par des stages du plan académique de formation).</w:t>
      </w:r>
    </w:p>
    <w:p w:rsidR="00123CCE" w:rsidRDefault="00123CCE" w:rsidP="00245349">
      <w:pPr>
        <w:rPr>
          <w:rFonts w:asciiTheme="minorHAnsi" w:hAnsiTheme="minorHAnsi"/>
        </w:rPr>
      </w:pPr>
      <w:r>
        <w:rPr>
          <w:rFonts w:asciiTheme="minorHAnsi" w:hAnsiTheme="minorHAnsi"/>
        </w:rPr>
        <w:t>En 2020-2021 : formation continue des conseillers à cours d’élaboration.</w:t>
      </w:r>
    </w:p>
    <w:p w:rsidR="004D2AC2" w:rsidRDefault="004D2AC2" w:rsidP="004D2AC2">
      <w:pPr>
        <w:pStyle w:val="Titre3"/>
      </w:pPr>
      <w:r>
        <w:t>Les demandes</w:t>
      </w:r>
    </w:p>
    <w:p w:rsidR="004D2AC2" w:rsidRDefault="004D2AC2" w:rsidP="004D2AC2">
      <w:pPr>
        <w:pStyle w:val="Titre4"/>
      </w:pPr>
      <w:r>
        <w:t>Nombre de sollicitations</w:t>
      </w:r>
    </w:p>
    <w:p w:rsidR="004D2AC2" w:rsidRDefault="004D2AC2" w:rsidP="003F2AB9">
      <w:r>
        <w:t>Considérable augmentation</w:t>
      </w:r>
      <w:r w:rsidR="00AE086F">
        <w:t xml:space="preserve"> : </w:t>
      </w:r>
      <w:r>
        <w:t>de 3 004 sollicitations en novembre 2019 à un total de 24 000 sollicitations en juillet 2020.</w:t>
      </w:r>
    </w:p>
    <w:p w:rsidR="004D2AC2" w:rsidRDefault="004D2AC2" w:rsidP="003F2AB9">
      <w:r>
        <w:t>À noter le fonctionnement des RH de proximité durant la crise sanitaire avec même une accélération : triplement du nombre passant de 8 100 avant la crise à 24 000 en juillet 2020.</w:t>
      </w:r>
    </w:p>
    <w:p w:rsidR="004D2AC2" w:rsidRDefault="004D2AC2" w:rsidP="00A71FC8">
      <w:pPr>
        <w:pStyle w:val="Titre4"/>
      </w:pPr>
      <w:r>
        <w:t>Profil des demandeurs</w:t>
      </w:r>
    </w:p>
    <w:p w:rsidR="004D2AC2" w:rsidRDefault="004D2AC2" w:rsidP="003F2AB9">
      <w:r>
        <w:t>4 femmes pour 1 homme</w:t>
      </w:r>
    </w:p>
    <w:p w:rsidR="004D2AC2" w:rsidRDefault="004D2AC2" w:rsidP="003F2AB9">
      <w:r>
        <w:t>66 % des demandeurs ont plus de 40 ans</w:t>
      </w:r>
    </w:p>
    <w:p w:rsidR="004D2AC2" w:rsidRDefault="004D2AC2" w:rsidP="003F2AB9">
      <w:r>
        <w:t>80 </w:t>
      </w:r>
      <w:r w:rsidR="00A71FC8">
        <w:t>%</w:t>
      </w:r>
      <w:r>
        <w:t xml:space="preserve"> de demandes proviennent des personnels enseignants (dont 42 % de professeurs du 2</w:t>
      </w:r>
      <w:r w:rsidRPr="004D2AC2">
        <w:rPr>
          <w:vertAlign w:val="superscript"/>
        </w:rPr>
        <w:t>nd</w:t>
      </w:r>
      <w:r>
        <w:t xml:space="preserve"> degré et 38 % de professeurs du 1</w:t>
      </w:r>
      <w:r w:rsidRPr="004D2AC2">
        <w:rPr>
          <w:vertAlign w:val="superscript"/>
        </w:rPr>
        <w:t>er</w:t>
      </w:r>
      <w:r>
        <w:t xml:space="preserve"> degré</w:t>
      </w:r>
      <w:r w:rsidR="00A71FC8">
        <w:t>).</w:t>
      </w:r>
    </w:p>
    <w:p w:rsidR="00A71FC8" w:rsidRDefault="00A71FC8" w:rsidP="00A71FC8">
      <w:pPr>
        <w:pStyle w:val="Titre4"/>
      </w:pPr>
      <w:r>
        <w:t>Typologie des demandes</w:t>
      </w:r>
    </w:p>
    <w:p w:rsidR="00A71FC8" w:rsidRPr="00A71FC8" w:rsidRDefault="00A71FC8" w:rsidP="00A71FC8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A71FC8">
        <w:rPr>
          <w:rFonts w:asciiTheme="minorHAnsi" w:hAnsiTheme="minorHAnsi" w:cs="Arial"/>
          <w:sz w:val="22"/>
          <w:szCs w:val="22"/>
        </w:rPr>
        <w:t>En majorité pour un accompagnement d’un projet professionnel (39 %),</w:t>
      </w:r>
    </w:p>
    <w:p w:rsidR="00A71FC8" w:rsidRPr="00A71FC8" w:rsidRDefault="00A71FC8" w:rsidP="00A71FC8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A71FC8">
        <w:rPr>
          <w:rFonts w:asciiTheme="minorHAnsi" w:hAnsiTheme="minorHAnsi" w:cs="Arial"/>
          <w:sz w:val="22"/>
          <w:szCs w:val="22"/>
        </w:rPr>
        <w:t>Des difficultés professionnelles (17 %),</w:t>
      </w:r>
    </w:p>
    <w:p w:rsidR="00A71FC8" w:rsidRPr="00A71FC8" w:rsidRDefault="00A71FC8" w:rsidP="00A71FC8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A71FC8">
        <w:rPr>
          <w:rFonts w:asciiTheme="minorHAnsi" w:hAnsiTheme="minorHAnsi" w:cs="Arial"/>
          <w:sz w:val="22"/>
          <w:szCs w:val="22"/>
        </w:rPr>
        <w:t>Des raisons de santé et qualité de vie au travail (QVT) (16 %),</w:t>
      </w:r>
    </w:p>
    <w:p w:rsidR="00A71FC8" w:rsidRPr="00A71FC8" w:rsidRDefault="00A71FC8" w:rsidP="00A71FC8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A71FC8">
        <w:rPr>
          <w:rFonts w:asciiTheme="minorHAnsi" w:hAnsiTheme="minorHAnsi" w:cs="Arial"/>
          <w:sz w:val="22"/>
          <w:szCs w:val="22"/>
        </w:rPr>
        <w:t>Aide administrative à la constitution d’un dossier (15 %),</w:t>
      </w:r>
    </w:p>
    <w:p w:rsidR="00A71FC8" w:rsidRDefault="00A71FC8" w:rsidP="00A71FC8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A71FC8">
        <w:rPr>
          <w:rFonts w:asciiTheme="minorHAnsi" w:hAnsiTheme="minorHAnsi" w:cs="Arial"/>
          <w:sz w:val="22"/>
          <w:szCs w:val="22"/>
        </w:rPr>
        <w:t>Des demandes de formation individuelle (CPF, CFP…) (14 %).</w:t>
      </w:r>
    </w:p>
    <w:p w:rsidR="00123CCE" w:rsidRPr="00123CCE" w:rsidRDefault="00123CCE" w:rsidP="00123CCE">
      <w:pPr>
        <w:rPr>
          <w:rFonts w:asciiTheme="minorHAnsi" w:hAnsiTheme="minorHAnsi" w:cs="Arial"/>
        </w:rPr>
      </w:pPr>
    </w:p>
    <w:p w:rsidR="00123CCE" w:rsidRPr="00874F4B" w:rsidRDefault="00123CCE" w:rsidP="00874F4B">
      <w:pPr>
        <w:rPr>
          <w:rFonts w:asciiTheme="minorHAnsi" w:hAnsiTheme="minorHAnsi" w:cs="Arial"/>
        </w:rPr>
      </w:pPr>
      <w:proofErr w:type="spellStart"/>
      <w:r w:rsidRPr="00874F4B">
        <w:rPr>
          <w:rFonts w:asciiTheme="minorHAnsi" w:hAnsiTheme="minorHAnsi" w:cs="Arial"/>
          <w:b/>
        </w:rPr>
        <w:t>ProxiRH</w:t>
      </w:r>
      <w:proofErr w:type="spellEnd"/>
      <w:r w:rsidRPr="00874F4B">
        <w:rPr>
          <w:rFonts w:asciiTheme="minorHAnsi" w:hAnsiTheme="minorHAnsi" w:cs="Arial"/>
        </w:rPr>
        <w:t xml:space="preserve"> : application permettant la prise de rendez-vous (tél., </w:t>
      </w:r>
      <w:proofErr w:type="spellStart"/>
      <w:r w:rsidRPr="00874F4B">
        <w:rPr>
          <w:rFonts w:asciiTheme="minorHAnsi" w:hAnsiTheme="minorHAnsi" w:cs="Arial"/>
        </w:rPr>
        <w:t>visio</w:t>
      </w:r>
      <w:proofErr w:type="spellEnd"/>
      <w:r w:rsidRPr="00874F4B">
        <w:rPr>
          <w:rFonts w:asciiTheme="minorHAnsi" w:hAnsiTheme="minorHAnsi" w:cs="Arial"/>
        </w:rPr>
        <w:t xml:space="preserve"> ou en présentiel) avec le conseiller et suivi de la demande </w:t>
      </w:r>
    </w:p>
    <w:p w:rsidR="00A71FC8" w:rsidRDefault="00A71FC8" w:rsidP="00A71FC8">
      <w:pPr>
        <w:pStyle w:val="Titre4"/>
      </w:pPr>
      <w:r>
        <w:t xml:space="preserve">Typologie des réponses </w:t>
      </w:r>
    </w:p>
    <w:p w:rsidR="00A71FC8" w:rsidRPr="00A71FC8" w:rsidRDefault="00A71FC8" w:rsidP="00A71FC8">
      <w:pPr>
        <w:pStyle w:val="Paragraphedeliste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71FC8">
        <w:rPr>
          <w:rFonts w:asciiTheme="minorHAnsi" w:hAnsiTheme="minorHAnsi"/>
          <w:sz w:val="22"/>
          <w:szCs w:val="22"/>
        </w:rPr>
        <w:t>Massivement actuellement par une information collective et individuelle (67 %),</w:t>
      </w:r>
    </w:p>
    <w:p w:rsidR="00A71FC8" w:rsidRPr="00A71FC8" w:rsidRDefault="00A71FC8" w:rsidP="00A71FC8">
      <w:pPr>
        <w:pStyle w:val="Paragraphedeliste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A71FC8">
        <w:rPr>
          <w:rFonts w:asciiTheme="minorHAnsi" w:hAnsiTheme="minorHAnsi"/>
          <w:sz w:val="22"/>
          <w:szCs w:val="22"/>
        </w:rPr>
        <w:t>L’orientation vers un autre interlocuteur interne (27 %) ou externe (6 %).</w:t>
      </w:r>
    </w:p>
    <w:p w:rsidR="00123CCE" w:rsidRDefault="00123CCE" w:rsidP="003F2AB9"/>
    <w:p w:rsidR="00AA0EAD" w:rsidRPr="001D0D25" w:rsidRDefault="00AE086F" w:rsidP="003A0B65">
      <w:pPr>
        <w:pStyle w:val="Titre1"/>
      </w:pPr>
      <w:r>
        <w:t>L’articulation des conseillers RH de proximité avec l</w:t>
      </w:r>
      <w:r w:rsidR="00AA0EAD" w:rsidRPr="001D0D25">
        <w:t>es missions d’accompagnement de l’encadrement (MAE)</w:t>
      </w:r>
      <w:r w:rsidR="00123CCE">
        <w:t xml:space="preserve"> académique</w:t>
      </w:r>
    </w:p>
    <w:p w:rsidR="00AA0EAD" w:rsidRDefault="00AA0EAD" w:rsidP="00AA0EAD">
      <w:r>
        <w:t xml:space="preserve">Ces MAE </w:t>
      </w:r>
      <w:r w:rsidR="004D1945">
        <w:t xml:space="preserve">locales </w:t>
      </w:r>
      <w:r>
        <w:t>s’articulent pleinement avec la GRH de proximité pour accompagner les cadres, mettre en place une politique de vivier.</w:t>
      </w:r>
      <w:r w:rsidR="00AE086F">
        <w:t xml:space="preserve"> </w:t>
      </w:r>
      <w:r>
        <w:t>Besoin d’établir une feuille RH de l’académie ; travail sur un protocole de repérage et projet de cartographie des parcours professionnels.</w:t>
      </w:r>
    </w:p>
    <w:p w:rsidR="00123CCE" w:rsidRDefault="00123CCE" w:rsidP="00123CCE">
      <w:pPr>
        <w:pStyle w:val="Titre2"/>
      </w:pPr>
      <w:r>
        <w:t>Expérimentation des MAE dès janvier 21</w:t>
      </w:r>
    </w:p>
    <w:p w:rsidR="00AA0EAD" w:rsidRDefault="00AA0EAD" w:rsidP="00123CCE">
      <w:pPr>
        <w:pStyle w:val="Titre3"/>
      </w:pPr>
      <w:r w:rsidRPr="001D0D25">
        <w:t>Trois actions</w:t>
      </w:r>
    </w:p>
    <w:p w:rsidR="00AA0EAD" w:rsidRDefault="00AA0EAD" w:rsidP="00AA0EAD">
      <w:pPr>
        <w:pStyle w:val="Sansinterligne"/>
        <w:numPr>
          <w:ilvl w:val="0"/>
          <w:numId w:val="11"/>
        </w:numPr>
        <w:jc w:val="both"/>
      </w:pPr>
      <w:r w:rsidRPr="001D0D25">
        <w:t>Former les cadres (au niveau de la région académique) ;</w:t>
      </w:r>
    </w:p>
    <w:p w:rsidR="00AA0EAD" w:rsidRDefault="00AA0EAD" w:rsidP="00AA0EAD">
      <w:pPr>
        <w:pStyle w:val="Sansinterligne"/>
        <w:numPr>
          <w:ilvl w:val="0"/>
          <w:numId w:val="11"/>
        </w:numPr>
        <w:jc w:val="both"/>
      </w:pPr>
      <w:r w:rsidRPr="001D0D25">
        <w:t>Mettre en place une revue des cadres en académies ;</w:t>
      </w:r>
    </w:p>
    <w:p w:rsidR="00AA0EAD" w:rsidRDefault="00AA0EAD" w:rsidP="00AA0EAD">
      <w:pPr>
        <w:pStyle w:val="Sansinterligne"/>
        <w:numPr>
          <w:ilvl w:val="0"/>
          <w:numId w:val="11"/>
        </w:numPr>
        <w:jc w:val="both"/>
      </w:pPr>
      <w:r w:rsidRPr="001D0D25">
        <w:t>Élaborer une offre de service en direction des cadres</w:t>
      </w:r>
      <w:r>
        <w:t>.</w:t>
      </w:r>
    </w:p>
    <w:p w:rsidR="00AA0EAD" w:rsidRDefault="00AA0EAD" w:rsidP="00123CCE">
      <w:pPr>
        <w:pStyle w:val="Titre3"/>
      </w:pPr>
      <w:r>
        <w:t>Logique de viviers</w:t>
      </w:r>
    </w:p>
    <w:p w:rsidR="00AA0EAD" w:rsidRDefault="00AA0EAD" w:rsidP="00AA0EAD">
      <w:pPr>
        <w:pStyle w:val="Sansinterligne"/>
        <w:jc w:val="both"/>
      </w:pPr>
      <w:r w:rsidRPr="00123CCE">
        <w:rPr>
          <w:u w:val="single"/>
        </w:rPr>
        <w:t>Au niveau national</w:t>
      </w:r>
      <w:r>
        <w:t> : agents qui peuvent occuper un emploi fonctionnel dans une période rapide (6 mois/1an).</w:t>
      </w:r>
    </w:p>
    <w:p w:rsidR="00AA0EAD" w:rsidRDefault="00AA0EAD" w:rsidP="00AA0EAD">
      <w:pPr>
        <w:pStyle w:val="Sansinterligne"/>
        <w:jc w:val="both"/>
      </w:pPr>
      <w:r w:rsidRPr="00123CCE">
        <w:rPr>
          <w:u w:val="single"/>
        </w:rPr>
        <w:t>Au niveau académique</w:t>
      </w:r>
      <w:r>
        <w:t> : valoriser des parcours et repérer des potentiels pour anticiper les recrutements de cadres. Demande est faite aux académies de constituer un vivier de cadres à 3-5-7</w:t>
      </w:r>
      <w:r w:rsidR="00123CCE">
        <w:t> </w:t>
      </w:r>
      <w:r>
        <w:t>ans.</w:t>
      </w:r>
    </w:p>
    <w:p w:rsidR="00123CCE" w:rsidRDefault="00123CCE" w:rsidP="00123CCE">
      <w:pPr>
        <w:pStyle w:val="Titre3"/>
      </w:pPr>
      <w:r>
        <w:lastRenderedPageBreak/>
        <w:t>Moyens</w:t>
      </w:r>
    </w:p>
    <w:p w:rsidR="00AA0EAD" w:rsidRDefault="00AA0EAD" w:rsidP="00AA0EAD">
      <w:pPr>
        <w:pStyle w:val="Sansinterligne"/>
        <w:jc w:val="both"/>
      </w:pPr>
      <w:r>
        <w:t xml:space="preserve">Assouplir les règles de gestion pour valoriser les parcours atypiques (ex : un prof de prépa </w:t>
      </w:r>
      <w:proofErr w:type="spellStart"/>
      <w:r>
        <w:t>daasen</w:t>
      </w:r>
      <w:proofErr w:type="spellEnd"/>
      <w:r>
        <w:t>…)</w:t>
      </w:r>
    </w:p>
    <w:p w:rsidR="00123CCE" w:rsidRDefault="00AA0EAD" w:rsidP="00123CCE">
      <w:r>
        <w:t>Travailler avec les PFRH (par ex, pour les formations) ; immers</w:t>
      </w:r>
      <w:r w:rsidR="003A0B65">
        <w:t xml:space="preserve">ion ; mentorat, coaching, </w:t>
      </w:r>
      <w:proofErr w:type="spellStart"/>
      <w:r w:rsidR="003A0B65">
        <w:t>co</w:t>
      </w:r>
      <w:proofErr w:type="spellEnd"/>
      <w:r w:rsidR="003A0B65">
        <w:t>-développement.</w:t>
      </w:r>
    </w:p>
    <w:p w:rsidR="00123CCE" w:rsidRDefault="00123CCE" w:rsidP="003A0B65"/>
    <w:sectPr w:rsidR="00123CC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97" w:rsidRDefault="00272F97" w:rsidP="003F2AB9">
      <w:pPr>
        <w:spacing w:line="240" w:lineRule="auto"/>
      </w:pPr>
      <w:r>
        <w:separator/>
      </w:r>
    </w:p>
  </w:endnote>
  <w:endnote w:type="continuationSeparator" w:id="0">
    <w:p w:rsidR="00272F97" w:rsidRDefault="00272F97" w:rsidP="003F2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B9" w:rsidRPr="003F2AB9" w:rsidRDefault="003F2AB9">
    <w:pPr>
      <w:pStyle w:val="Pieddepage"/>
      <w:rPr>
        <w:sz w:val="18"/>
        <w:szCs w:val="18"/>
      </w:rPr>
    </w:pPr>
    <w:r w:rsidRPr="003F2AB9">
      <w:rPr>
        <w:sz w:val="18"/>
        <w:szCs w:val="18"/>
      </w:rPr>
      <w:t>Département de la formation, des parcours professionnels et des affaires internationales (DGRH F1)</w:t>
    </w:r>
  </w:p>
  <w:p w:rsidR="003F2AB9" w:rsidRPr="003F2AB9" w:rsidRDefault="003F2AB9" w:rsidP="003F2AB9">
    <w:pPr>
      <w:pStyle w:val="Pieddepage"/>
      <w:jc w:val="center"/>
      <w:rPr>
        <w:sz w:val="18"/>
        <w:szCs w:val="18"/>
      </w:rPr>
    </w:pPr>
    <w:r w:rsidRPr="003F2AB9">
      <w:rPr>
        <w:sz w:val="18"/>
        <w:szCs w:val="18"/>
      </w:rPr>
      <w:t>[</w:t>
    </w:r>
    <w:r w:rsidRPr="003F2AB9">
      <w:rPr>
        <w:sz w:val="18"/>
        <w:szCs w:val="18"/>
      </w:rPr>
      <w:fldChar w:fldCharType="begin"/>
    </w:r>
    <w:r w:rsidRPr="003F2AB9">
      <w:rPr>
        <w:sz w:val="18"/>
        <w:szCs w:val="18"/>
      </w:rPr>
      <w:instrText>PAGE   \* MERGEFORMAT</w:instrText>
    </w:r>
    <w:r w:rsidRPr="003F2AB9">
      <w:rPr>
        <w:sz w:val="18"/>
        <w:szCs w:val="18"/>
      </w:rPr>
      <w:fldChar w:fldCharType="separate"/>
    </w:r>
    <w:r w:rsidR="009A0A67">
      <w:rPr>
        <w:noProof/>
        <w:sz w:val="18"/>
        <w:szCs w:val="18"/>
      </w:rPr>
      <w:t>1</w:t>
    </w:r>
    <w:r w:rsidRPr="003F2AB9">
      <w:rPr>
        <w:sz w:val="18"/>
        <w:szCs w:val="18"/>
      </w:rPr>
      <w:fldChar w:fldCharType="end"/>
    </w:r>
    <w:r w:rsidRPr="003F2AB9">
      <w:rPr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97" w:rsidRDefault="00272F97" w:rsidP="003F2AB9">
      <w:pPr>
        <w:spacing w:line="240" w:lineRule="auto"/>
      </w:pPr>
      <w:r>
        <w:separator/>
      </w:r>
    </w:p>
  </w:footnote>
  <w:footnote w:type="continuationSeparator" w:id="0">
    <w:p w:rsidR="00272F97" w:rsidRDefault="00272F97" w:rsidP="003F2A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45" w:rsidRDefault="00272F9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894" o:spid="_x0000_s2052" type="#_x0000_t136" style="position:absolute;left:0;text-align:left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12" w:rsidRDefault="001B7512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DOCUMENT 2 </w:t>
    </w:r>
  </w:p>
  <w:p w:rsidR="003F2AB9" w:rsidRPr="00934843" w:rsidRDefault="00272F97">
    <w:pPr>
      <w:pStyle w:val="En-tte"/>
      <w:rPr>
        <w:rFonts w:ascii="Arial" w:hAnsi="Arial" w:cs="Arial"/>
        <w:b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895" o:spid="_x0000_s2053" type="#_x0000_t136" style="position:absolute;left:0;text-align:left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 w:rsidR="003F2AB9" w:rsidRPr="00934843">
      <w:rPr>
        <w:rFonts w:ascii="Arial" w:hAnsi="Arial" w:cs="Arial"/>
        <w:b/>
        <w:sz w:val="24"/>
        <w:szCs w:val="24"/>
      </w:rPr>
      <w:t>GT11 parcours professionnels et gestion de proximité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45" w:rsidRDefault="00272F9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893" o:spid="_x0000_s2051" type="#_x0000_t136" style="position:absolute;left:0;text-align:left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55D"/>
      </v:shape>
    </w:pict>
  </w:numPicBullet>
  <w:abstractNum w:abstractNumId="0">
    <w:nsid w:val="04CF3A40"/>
    <w:multiLevelType w:val="hybridMultilevel"/>
    <w:tmpl w:val="B3ECF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22545"/>
    <w:multiLevelType w:val="hybridMultilevel"/>
    <w:tmpl w:val="F73EB340"/>
    <w:lvl w:ilvl="0" w:tplc="88802E9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B5FA0"/>
    <w:multiLevelType w:val="hybridMultilevel"/>
    <w:tmpl w:val="72D83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A546B"/>
    <w:multiLevelType w:val="hybridMultilevel"/>
    <w:tmpl w:val="A4689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11840"/>
    <w:multiLevelType w:val="hybridMultilevel"/>
    <w:tmpl w:val="015213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758CF"/>
    <w:multiLevelType w:val="hybridMultilevel"/>
    <w:tmpl w:val="957AF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07BD3"/>
    <w:multiLevelType w:val="hybridMultilevel"/>
    <w:tmpl w:val="301860A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A43EEE"/>
    <w:multiLevelType w:val="hybridMultilevel"/>
    <w:tmpl w:val="CDACE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A71BD"/>
    <w:multiLevelType w:val="hybridMultilevel"/>
    <w:tmpl w:val="26D87AC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B7846"/>
    <w:multiLevelType w:val="hybridMultilevel"/>
    <w:tmpl w:val="BE0C5D36"/>
    <w:lvl w:ilvl="0" w:tplc="F7A06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9505A"/>
    <w:multiLevelType w:val="hybridMultilevel"/>
    <w:tmpl w:val="92006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B9"/>
    <w:rsid w:val="00033F02"/>
    <w:rsid w:val="0004321F"/>
    <w:rsid w:val="0006762E"/>
    <w:rsid w:val="000F2D6E"/>
    <w:rsid w:val="00123CCE"/>
    <w:rsid w:val="001247E9"/>
    <w:rsid w:val="001459F0"/>
    <w:rsid w:val="00190996"/>
    <w:rsid w:val="001B7512"/>
    <w:rsid w:val="001F1BA1"/>
    <w:rsid w:val="00245349"/>
    <w:rsid w:val="002513DA"/>
    <w:rsid w:val="00272F97"/>
    <w:rsid w:val="002C286F"/>
    <w:rsid w:val="002E2000"/>
    <w:rsid w:val="00305D30"/>
    <w:rsid w:val="003A0B65"/>
    <w:rsid w:val="003E275E"/>
    <w:rsid w:val="003F2AB9"/>
    <w:rsid w:val="003F2E01"/>
    <w:rsid w:val="00452293"/>
    <w:rsid w:val="0048401F"/>
    <w:rsid w:val="004D1945"/>
    <w:rsid w:val="004D2AC2"/>
    <w:rsid w:val="00537BFA"/>
    <w:rsid w:val="00574FF1"/>
    <w:rsid w:val="00592EAD"/>
    <w:rsid w:val="005F4435"/>
    <w:rsid w:val="00623ADD"/>
    <w:rsid w:val="006D149F"/>
    <w:rsid w:val="0073799C"/>
    <w:rsid w:val="00767C1C"/>
    <w:rsid w:val="007F16B9"/>
    <w:rsid w:val="00813E9D"/>
    <w:rsid w:val="00844ED2"/>
    <w:rsid w:val="00873A85"/>
    <w:rsid w:val="00874F4B"/>
    <w:rsid w:val="0089505A"/>
    <w:rsid w:val="009248A1"/>
    <w:rsid w:val="00930D29"/>
    <w:rsid w:val="00934843"/>
    <w:rsid w:val="0099650C"/>
    <w:rsid w:val="009A0A67"/>
    <w:rsid w:val="00A361B7"/>
    <w:rsid w:val="00A71FC8"/>
    <w:rsid w:val="00A8186A"/>
    <w:rsid w:val="00A836F0"/>
    <w:rsid w:val="00A97590"/>
    <w:rsid w:val="00AA0EAD"/>
    <w:rsid w:val="00AB3258"/>
    <w:rsid w:val="00AE086F"/>
    <w:rsid w:val="00B4082D"/>
    <w:rsid w:val="00BC4587"/>
    <w:rsid w:val="00C33AAF"/>
    <w:rsid w:val="00C46219"/>
    <w:rsid w:val="00DC7875"/>
    <w:rsid w:val="00E22A61"/>
    <w:rsid w:val="00F1371E"/>
    <w:rsid w:val="00F51C96"/>
    <w:rsid w:val="00F6496F"/>
    <w:rsid w:val="00F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B9"/>
    <w:pPr>
      <w:spacing w:after="0" w:line="280" w:lineRule="exact"/>
      <w:jc w:val="both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1247E9"/>
    <w:pPr>
      <w:keepNext/>
      <w:keepLines/>
      <w:pBdr>
        <w:bottom w:val="single" w:sz="8" w:space="1" w:color="002060"/>
      </w:pBdr>
      <w:spacing w:after="360"/>
      <w:outlineLvl w:val="0"/>
    </w:pPr>
    <w:rPr>
      <w:rFonts w:asciiTheme="minorHAnsi" w:eastAsiaTheme="majorEastAsia" w:hAnsiTheme="minorHAnsi" w:cstheme="majorBidi"/>
      <w:b/>
      <w:bCs/>
      <w:color w:val="00206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2D6E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206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46219"/>
    <w:pPr>
      <w:keepNext/>
      <w:keepLines/>
      <w:spacing w:before="60" w:after="60"/>
      <w:ind w:left="284"/>
      <w:outlineLvl w:val="2"/>
    </w:pPr>
    <w:rPr>
      <w:rFonts w:asciiTheme="minorHAnsi" w:eastAsiaTheme="majorEastAsia" w:hAnsiTheme="min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AC2"/>
    <w:pPr>
      <w:keepNext/>
      <w:keepLines/>
      <w:spacing w:before="120"/>
      <w:ind w:left="567"/>
      <w:outlineLvl w:val="3"/>
    </w:pPr>
    <w:rPr>
      <w:rFonts w:ascii="Book Antiqua" w:eastAsiaTheme="majorEastAsia" w:hAnsi="Book Antiqua" w:cstheme="majorBidi"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0">
    <w:name w:val="Titre 0"/>
    <w:basedOn w:val="Titre1"/>
    <w:link w:val="Titre0Car"/>
    <w:qFormat/>
    <w:rsid w:val="00F51C96"/>
    <w:pPr>
      <w:spacing w:after="0"/>
    </w:pPr>
  </w:style>
  <w:style w:type="character" w:customStyle="1" w:styleId="Titre0Car">
    <w:name w:val="Titre 0 Car"/>
    <w:basedOn w:val="Titre1Car"/>
    <w:link w:val="Titre0"/>
    <w:rsid w:val="00F51C96"/>
    <w:rPr>
      <w:rFonts w:asciiTheme="minorHAnsi" w:eastAsiaTheme="majorEastAsia" w:hAnsiTheme="minorHAnsi" w:cstheme="majorBidi"/>
      <w:b/>
      <w:bCs/>
      <w:color w:val="002060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1247E9"/>
    <w:rPr>
      <w:rFonts w:asciiTheme="minorHAnsi" w:eastAsiaTheme="majorEastAsia" w:hAnsiTheme="minorHAnsi" w:cstheme="majorBidi"/>
      <w:b/>
      <w:bC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F2D6E"/>
    <w:rPr>
      <w:rFonts w:ascii="Calibri" w:eastAsiaTheme="majorEastAsia" w:hAnsi="Calibri" w:cstheme="majorBidi"/>
      <w:b/>
      <w:bCs/>
      <w:color w:val="002060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46219"/>
    <w:rPr>
      <w:rFonts w:asciiTheme="minorHAnsi" w:eastAsiaTheme="majorEastAsia" w:hAnsiTheme="min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4D2AC2"/>
    <w:rPr>
      <w:rFonts w:ascii="Book Antiqua" w:eastAsiaTheme="majorEastAsia" w:hAnsi="Book Antiqua" w:cstheme="majorBidi"/>
      <w:bCs/>
      <w:i/>
      <w:iCs/>
    </w:rPr>
  </w:style>
  <w:style w:type="paragraph" w:customStyle="1" w:styleId="acadmie">
    <w:name w:val="académie"/>
    <w:basedOn w:val="Normal"/>
    <w:link w:val="acadmieCar"/>
    <w:qFormat/>
    <w:rsid w:val="00537BFA"/>
    <w:rPr>
      <w:i/>
      <w:color w:val="8064A2" w:themeColor="accent4"/>
    </w:rPr>
  </w:style>
  <w:style w:type="character" w:customStyle="1" w:styleId="acadmieCar">
    <w:name w:val="académie Car"/>
    <w:basedOn w:val="Policepardfaut"/>
    <w:link w:val="acadmie"/>
    <w:rsid w:val="00537BFA"/>
    <w:rPr>
      <w:rFonts w:ascii="Arial" w:hAnsi="Arial" w:cs="Times New Roman"/>
      <w:i/>
      <w:color w:val="8064A2" w:themeColor="accent4"/>
      <w:sz w:val="20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1247E9"/>
    <w:rPr>
      <w:rFonts w:ascii="Arial" w:hAnsi="Arial"/>
      <w:b w:val="0"/>
      <w:bCs/>
      <w:i w:val="0"/>
      <w:caps w:val="0"/>
      <w:smallCaps/>
      <w:strike w:val="0"/>
      <w:dstrike w:val="0"/>
      <w:vanish w:val="0"/>
      <w:color w:val="8064A2" w:themeColor="accent4"/>
      <w:spacing w:val="5"/>
      <w:sz w:val="16"/>
      <w:vertAlign w:val="baseli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1C96"/>
    <w:pPr>
      <w:numPr>
        <w:ilvl w:val="1"/>
      </w:numPr>
      <w:spacing w:after="360"/>
      <w:jc w:val="right"/>
    </w:pPr>
    <w:rPr>
      <w:rFonts w:asciiTheme="majorHAnsi" w:eastAsiaTheme="majorEastAsia" w:hAnsiTheme="majorHAnsi" w:cstheme="majorBidi"/>
      <w:i/>
      <w:iCs/>
      <w:color w:val="002060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51C96"/>
    <w:rPr>
      <w:rFonts w:asciiTheme="majorHAnsi" w:eastAsiaTheme="majorEastAsia" w:hAnsiTheme="majorHAnsi" w:cstheme="majorBidi"/>
      <w:i/>
      <w:iCs/>
      <w:color w:val="002060"/>
      <w:spacing w:val="15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3F2AB9"/>
    <w:pPr>
      <w:ind w:left="720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F2A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2AB9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F2A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2AB9"/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3F2AB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A0EAD"/>
    <w:pPr>
      <w:spacing w:after="0" w:line="240" w:lineRule="auto"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3A0B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0B6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B9"/>
    <w:pPr>
      <w:spacing w:after="0" w:line="280" w:lineRule="exact"/>
      <w:jc w:val="both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1247E9"/>
    <w:pPr>
      <w:keepNext/>
      <w:keepLines/>
      <w:pBdr>
        <w:bottom w:val="single" w:sz="8" w:space="1" w:color="002060"/>
      </w:pBdr>
      <w:spacing w:after="360"/>
      <w:outlineLvl w:val="0"/>
    </w:pPr>
    <w:rPr>
      <w:rFonts w:asciiTheme="minorHAnsi" w:eastAsiaTheme="majorEastAsia" w:hAnsiTheme="minorHAnsi" w:cstheme="majorBidi"/>
      <w:b/>
      <w:bCs/>
      <w:color w:val="00206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2D6E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206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46219"/>
    <w:pPr>
      <w:keepNext/>
      <w:keepLines/>
      <w:spacing w:before="60" w:after="60"/>
      <w:ind w:left="284"/>
      <w:outlineLvl w:val="2"/>
    </w:pPr>
    <w:rPr>
      <w:rFonts w:asciiTheme="minorHAnsi" w:eastAsiaTheme="majorEastAsia" w:hAnsiTheme="min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AC2"/>
    <w:pPr>
      <w:keepNext/>
      <w:keepLines/>
      <w:spacing w:before="120"/>
      <w:ind w:left="567"/>
      <w:outlineLvl w:val="3"/>
    </w:pPr>
    <w:rPr>
      <w:rFonts w:ascii="Book Antiqua" w:eastAsiaTheme="majorEastAsia" w:hAnsi="Book Antiqua" w:cstheme="majorBidi"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0">
    <w:name w:val="Titre 0"/>
    <w:basedOn w:val="Titre1"/>
    <w:link w:val="Titre0Car"/>
    <w:qFormat/>
    <w:rsid w:val="00F51C96"/>
    <w:pPr>
      <w:spacing w:after="0"/>
    </w:pPr>
  </w:style>
  <w:style w:type="character" w:customStyle="1" w:styleId="Titre0Car">
    <w:name w:val="Titre 0 Car"/>
    <w:basedOn w:val="Titre1Car"/>
    <w:link w:val="Titre0"/>
    <w:rsid w:val="00F51C96"/>
    <w:rPr>
      <w:rFonts w:asciiTheme="minorHAnsi" w:eastAsiaTheme="majorEastAsia" w:hAnsiTheme="minorHAnsi" w:cstheme="majorBidi"/>
      <w:b/>
      <w:bCs/>
      <w:color w:val="002060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1247E9"/>
    <w:rPr>
      <w:rFonts w:asciiTheme="minorHAnsi" w:eastAsiaTheme="majorEastAsia" w:hAnsiTheme="minorHAnsi" w:cstheme="majorBidi"/>
      <w:b/>
      <w:bC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F2D6E"/>
    <w:rPr>
      <w:rFonts w:ascii="Calibri" w:eastAsiaTheme="majorEastAsia" w:hAnsi="Calibri" w:cstheme="majorBidi"/>
      <w:b/>
      <w:bCs/>
      <w:color w:val="002060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46219"/>
    <w:rPr>
      <w:rFonts w:asciiTheme="minorHAnsi" w:eastAsiaTheme="majorEastAsia" w:hAnsiTheme="min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4D2AC2"/>
    <w:rPr>
      <w:rFonts w:ascii="Book Antiqua" w:eastAsiaTheme="majorEastAsia" w:hAnsi="Book Antiqua" w:cstheme="majorBidi"/>
      <w:bCs/>
      <w:i/>
      <w:iCs/>
    </w:rPr>
  </w:style>
  <w:style w:type="paragraph" w:customStyle="1" w:styleId="acadmie">
    <w:name w:val="académie"/>
    <w:basedOn w:val="Normal"/>
    <w:link w:val="acadmieCar"/>
    <w:qFormat/>
    <w:rsid w:val="00537BFA"/>
    <w:rPr>
      <w:i/>
      <w:color w:val="8064A2" w:themeColor="accent4"/>
    </w:rPr>
  </w:style>
  <w:style w:type="character" w:customStyle="1" w:styleId="acadmieCar">
    <w:name w:val="académie Car"/>
    <w:basedOn w:val="Policepardfaut"/>
    <w:link w:val="acadmie"/>
    <w:rsid w:val="00537BFA"/>
    <w:rPr>
      <w:rFonts w:ascii="Arial" w:hAnsi="Arial" w:cs="Times New Roman"/>
      <w:i/>
      <w:color w:val="8064A2" w:themeColor="accent4"/>
      <w:sz w:val="20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1247E9"/>
    <w:rPr>
      <w:rFonts w:ascii="Arial" w:hAnsi="Arial"/>
      <w:b w:val="0"/>
      <w:bCs/>
      <w:i w:val="0"/>
      <w:caps w:val="0"/>
      <w:smallCaps/>
      <w:strike w:val="0"/>
      <w:dstrike w:val="0"/>
      <w:vanish w:val="0"/>
      <w:color w:val="8064A2" w:themeColor="accent4"/>
      <w:spacing w:val="5"/>
      <w:sz w:val="16"/>
      <w:vertAlign w:val="baseli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1C96"/>
    <w:pPr>
      <w:numPr>
        <w:ilvl w:val="1"/>
      </w:numPr>
      <w:spacing w:after="360"/>
      <w:jc w:val="right"/>
    </w:pPr>
    <w:rPr>
      <w:rFonts w:asciiTheme="majorHAnsi" w:eastAsiaTheme="majorEastAsia" w:hAnsiTheme="majorHAnsi" w:cstheme="majorBidi"/>
      <w:i/>
      <w:iCs/>
      <w:color w:val="002060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51C96"/>
    <w:rPr>
      <w:rFonts w:asciiTheme="majorHAnsi" w:eastAsiaTheme="majorEastAsia" w:hAnsiTheme="majorHAnsi" w:cstheme="majorBidi"/>
      <w:i/>
      <w:iCs/>
      <w:color w:val="002060"/>
      <w:spacing w:val="15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3F2AB9"/>
    <w:pPr>
      <w:ind w:left="720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F2A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2AB9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F2A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2AB9"/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3F2AB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A0EAD"/>
    <w:pPr>
      <w:spacing w:after="0" w:line="240" w:lineRule="auto"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3A0B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0B6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19/Hebdo29/MENH1920665C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Cazaban</dc:creator>
  <cp:lastModifiedBy>Administration centrale</cp:lastModifiedBy>
  <cp:revision>2</cp:revision>
  <cp:lastPrinted>2020-10-06T14:11:00Z</cp:lastPrinted>
  <dcterms:created xsi:type="dcterms:W3CDTF">2020-10-06T14:16:00Z</dcterms:created>
  <dcterms:modified xsi:type="dcterms:W3CDTF">2020-10-06T14:16:00Z</dcterms:modified>
</cp:coreProperties>
</file>