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EA1" w:rsidRDefault="002B28B7" w:rsidP="002B28B7">
      <w:pPr>
        <w:pStyle w:val="Default"/>
        <w:jc w:val="center"/>
      </w:pPr>
      <w:r>
        <w:rPr>
          <w:noProof/>
          <w:lang w:eastAsia="fr-FR"/>
        </w:rPr>
        <w:drawing>
          <wp:inline distT="0" distB="0" distL="0" distR="0">
            <wp:extent cx="1133341" cy="906673"/>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nia-ipr Unsa -5.png"/>
                    <pic:cNvPicPr/>
                  </pic:nvPicPr>
                  <pic:blipFill>
                    <a:blip r:embed="rId5">
                      <a:extLst>
                        <a:ext uri="{28A0092B-C50C-407E-A947-70E740481C1C}">
                          <a14:useLocalDpi xmlns:a14="http://schemas.microsoft.com/office/drawing/2010/main" val="0"/>
                        </a:ext>
                      </a:extLst>
                    </a:blip>
                    <a:stretch>
                      <a:fillRect/>
                    </a:stretch>
                  </pic:blipFill>
                  <pic:spPr>
                    <a:xfrm>
                      <a:off x="0" y="0"/>
                      <a:ext cx="1134048" cy="907238"/>
                    </a:xfrm>
                    <a:prstGeom prst="rect">
                      <a:avLst/>
                    </a:prstGeom>
                  </pic:spPr>
                </pic:pic>
              </a:graphicData>
            </a:graphic>
          </wp:inline>
        </w:drawing>
      </w:r>
    </w:p>
    <w:p w:rsidR="002B28B7" w:rsidRDefault="002B28B7" w:rsidP="00427EA1">
      <w:pPr>
        <w:pStyle w:val="Default"/>
        <w:rPr>
          <w:rFonts w:ascii="Garamond" w:hAnsi="Garamond"/>
          <w:b/>
          <w:bCs/>
          <w:sz w:val="22"/>
          <w:szCs w:val="22"/>
        </w:rPr>
      </w:pPr>
    </w:p>
    <w:p w:rsidR="002B28B7" w:rsidRDefault="002B28B7" w:rsidP="00427EA1">
      <w:pPr>
        <w:pStyle w:val="Default"/>
        <w:rPr>
          <w:rFonts w:ascii="Garamond" w:hAnsi="Garamond"/>
          <w:b/>
          <w:bCs/>
          <w:sz w:val="22"/>
          <w:szCs w:val="22"/>
        </w:rPr>
      </w:pPr>
    </w:p>
    <w:p w:rsidR="00427EA1" w:rsidRPr="002B28B7" w:rsidRDefault="00427EA1" w:rsidP="00427EA1">
      <w:pPr>
        <w:pStyle w:val="Default"/>
        <w:rPr>
          <w:rFonts w:ascii="Garamond" w:hAnsi="Garamond"/>
          <w:sz w:val="22"/>
          <w:szCs w:val="22"/>
        </w:rPr>
      </w:pPr>
      <w:r w:rsidRPr="002B28B7">
        <w:rPr>
          <w:rFonts w:ascii="Garamond" w:hAnsi="Garamond"/>
          <w:b/>
          <w:bCs/>
          <w:sz w:val="22"/>
          <w:szCs w:val="22"/>
        </w:rPr>
        <w:t xml:space="preserve">Position du SNIA-IPR UNSA sur l'évaluation des personnels </w:t>
      </w:r>
    </w:p>
    <w:p w:rsidR="00427EA1" w:rsidRPr="002B28B7" w:rsidRDefault="00427EA1" w:rsidP="00427EA1">
      <w:pPr>
        <w:pStyle w:val="Default"/>
        <w:rPr>
          <w:rFonts w:ascii="Garamond" w:hAnsi="Garamond"/>
          <w:b/>
          <w:bCs/>
          <w:sz w:val="22"/>
          <w:szCs w:val="22"/>
        </w:rPr>
      </w:pPr>
    </w:p>
    <w:p w:rsidR="00427EA1" w:rsidRPr="002B28B7" w:rsidRDefault="00427EA1" w:rsidP="00427EA1">
      <w:pPr>
        <w:pStyle w:val="Default"/>
        <w:rPr>
          <w:rFonts w:ascii="Garamond" w:hAnsi="Garamond"/>
          <w:sz w:val="22"/>
          <w:szCs w:val="22"/>
        </w:rPr>
      </w:pPr>
      <w:r w:rsidRPr="002B28B7">
        <w:rPr>
          <w:rFonts w:ascii="Garamond" w:hAnsi="Garamond"/>
          <w:b/>
          <w:bCs/>
          <w:sz w:val="22"/>
          <w:szCs w:val="22"/>
        </w:rPr>
        <w:t xml:space="preserve">Préambule : </w:t>
      </w:r>
    </w:p>
    <w:p w:rsidR="00427EA1" w:rsidRPr="002B28B7" w:rsidRDefault="00427EA1" w:rsidP="00427EA1">
      <w:pPr>
        <w:pStyle w:val="Default"/>
        <w:rPr>
          <w:rFonts w:ascii="Garamond" w:hAnsi="Garamond"/>
          <w:sz w:val="22"/>
          <w:szCs w:val="22"/>
        </w:rPr>
      </w:pPr>
      <w:r w:rsidRPr="002B28B7">
        <w:rPr>
          <w:rFonts w:ascii="Garamond" w:hAnsi="Garamond"/>
          <w:sz w:val="22"/>
          <w:szCs w:val="22"/>
        </w:rPr>
        <w:t xml:space="preserve">L’action et l’observation collégiale des IA-IPR dans les classes et les établissements permettent de : </w:t>
      </w:r>
    </w:p>
    <w:p w:rsidR="00427EA1" w:rsidRPr="002B28B7" w:rsidRDefault="00427EA1" w:rsidP="00427EA1">
      <w:pPr>
        <w:pStyle w:val="Default"/>
        <w:spacing w:after="27"/>
        <w:rPr>
          <w:rFonts w:ascii="Garamond" w:hAnsi="Garamond"/>
          <w:sz w:val="22"/>
          <w:szCs w:val="22"/>
        </w:rPr>
      </w:pPr>
      <w:r w:rsidRPr="002B28B7">
        <w:rPr>
          <w:rFonts w:ascii="Garamond" w:hAnsi="Garamond"/>
          <w:sz w:val="22"/>
          <w:szCs w:val="22"/>
        </w:rPr>
        <w:t xml:space="preserve">- évaluer les enseignements et de faire un état de la discipline (ou de la filière) </w:t>
      </w:r>
    </w:p>
    <w:p w:rsidR="00427EA1" w:rsidRPr="002B28B7" w:rsidRDefault="00427EA1" w:rsidP="00427EA1">
      <w:pPr>
        <w:pStyle w:val="Default"/>
        <w:spacing w:after="27"/>
        <w:rPr>
          <w:rFonts w:ascii="Garamond" w:hAnsi="Garamond"/>
          <w:sz w:val="22"/>
          <w:szCs w:val="22"/>
        </w:rPr>
      </w:pPr>
      <w:r w:rsidRPr="002B28B7">
        <w:rPr>
          <w:rFonts w:ascii="Garamond" w:hAnsi="Garamond"/>
          <w:sz w:val="22"/>
          <w:szCs w:val="22"/>
        </w:rPr>
        <w:t xml:space="preserve">- évaluer et faire progresser les pratiques de pilotage des établissements </w:t>
      </w:r>
    </w:p>
    <w:p w:rsidR="00427EA1" w:rsidRPr="002B28B7" w:rsidRDefault="00427EA1" w:rsidP="00427EA1">
      <w:pPr>
        <w:pStyle w:val="Default"/>
        <w:spacing w:after="27"/>
        <w:rPr>
          <w:rFonts w:ascii="Garamond" w:hAnsi="Garamond"/>
          <w:sz w:val="22"/>
          <w:szCs w:val="22"/>
        </w:rPr>
      </w:pPr>
      <w:r w:rsidRPr="002B28B7">
        <w:rPr>
          <w:rFonts w:ascii="Garamond" w:hAnsi="Garamond"/>
          <w:sz w:val="22"/>
          <w:szCs w:val="22"/>
        </w:rPr>
        <w:t xml:space="preserve">- évaluer et faire progresser les pratiques des enseignants </w:t>
      </w:r>
    </w:p>
    <w:p w:rsidR="00427EA1" w:rsidRPr="002B28B7" w:rsidRDefault="00427EA1" w:rsidP="00427EA1">
      <w:pPr>
        <w:pStyle w:val="Default"/>
        <w:spacing w:after="27"/>
        <w:rPr>
          <w:rFonts w:ascii="Garamond" w:hAnsi="Garamond"/>
          <w:sz w:val="22"/>
          <w:szCs w:val="22"/>
        </w:rPr>
      </w:pPr>
      <w:r w:rsidRPr="002B28B7">
        <w:rPr>
          <w:rFonts w:ascii="Garamond" w:hAnsi="Garamond"/>
          <w:sz w:val="22"/>
          <w:szCs w:val="22"/>
        </w:rPr>
        <w:t xml:space="preserve">- identifier les profils des enseignants en termes de GRH </w:t>
      </w:r>
    </w:p>
    <w:p w:rsidR="00427EA1" w:rsidRPr="002B28B7" w:rsidRDefault="00427EA1" w:rsidP="00427EA1">
      <w:pPr>
        <w:pStyle w:val="Default"/>
        <w:spacing w:after="27"/>
        <w:rPr>
          <w:rFonts w:ascii="Garamond" w:hAnsi="Garamond"/>
          <w:sz w:val="22"/>
          <w:szCs w:val="22"/>
        </w:rPr>
      </w:pPr>
      <w:r w:rsidRPr="002B28B7">
        <w:rPr>
          <w:rFonts w:ascii="Garamond" w:hAnsi="Garamond"/>
          <w:sz w:val="22"/>
          <w:szCs w:val="22"/>
        </w:rPr>
        <w:t xml:space="preserve">- ajuster les compétences des enseignants aux besoins de l’institution </w:t>
      </w:r>
    </w:p>
    <w:p w:rsidR="00427EA1" w:rsidRPr="002B28B7" w:rsidRDefault="00427EA1" w:rsidP="00427EA1">
      <w:pPr>
        <w:pStyle w:val="Default"/>
        <w:spacing w:after="27"/>
        <w:rPr>
          <w:rFonts w:ascii="Garamond" w:hAnsi="Garamond"/>
          <w:sz w:val="22"/>
          <w:szCs w:val="22"/>
        </w:rPr>
      </w:pPr>
      <w:r w:rsidRPr="002B28B7">
        <w:rPr>
          <w:rFonts w:ascii="Garamond" w:hAnsi="Garamond"/>
          <w:sz w:val="22"/>
          <w:szCs w:val="22"/>
        </w:rPr>
        <w:t xml:space="preserve">- évaluer et faire progresser les apprentissages et résultats des élèves </w:t>
      </w:r>
    </w:p>
    <w:p w:rsidR="00427EA1" w:rsidRPr="002B28B7" w:rsidRDefault="00427EA1" w:rsidP="00427EA1">
      <w:pPr>
        <w:pStyle w:val="Default"/>
        <w:rPr>
          <w:rFonts w:ascii="Garamond" w:hAnsi="Garamond"/>
          <w:sz w:val="22"/>
          <w:szCs w:val="22"/>
        </w:rPr>
      </w:pPr>
      <w:r w:rsidRPr="002B28B7">
        <w:rPr>
          <w:rFonts w:ascii="Garamond" w:hAnsi="Garamond"/>
          <w:sz w:val="22"/>
          <w:szCs w:val="22"/>
        </w:rPr>
        <w:t xml:space="preserve">- donner aux responsables du système les éléments et leviers de pilotage global. </w:t>
      </w:r>
    </w:p>
    <w:p w:rsidR="00427EA1" w:rsidRPr="002B28B7" w:rsidRDefault="00427EA1" w:rsidP="00427EA1">
      <w:pPr>
        <w:pStyle w:val="Default"/>
        <w:rPr>
          <w:rFonts w:ascii="Garamond" w:hAnsi="Garamond"/>
          <w:sz w:val="22"/>
          <w:szCs w:val="22"/>
        </w:rPr>
      </w:pPr>
    </w:p>
    <w:p w:rsidR="00427EA1" w:rsidRPr="002B28B7" w:rsidRDefault="00427EA1" w:rsidP="00427EA1">
      <w:pPr>
        <w:pStyle w:val="Default"/>
        <w:rPr>
          <w:rFonts w:ascii="Garamond" w:hAnsi="Garamond"/>
          <w:sz w:val="22"/>
          <w:szCs w:val="22"/>
        </w:rPr>
      </w:pPr>
      <w:r w:rsidRPr="002B28B7">
        <w:rPr>
          <w:rFonts w:ascii="Garamond" w:hAnsi="Garamond"/>
          <w:b/>
          <w:bCs/>
          <w:sz w:val="22"/>
          <w:szCs w:val="22"/>
        </w:rPr>
        <w:t xml:space="preserve">Points de principe : </w:t>
      </w:r>
    </w:p>
    <w:p w:rsidR="00427EA1" w:rsidRDefault="00427EA1" w:rsidP="00427EA1">
      <w:pPr>
        <w:pStyle w:val="Default"/>
        <w:rPr>
          <w:rFonts w:ascii="Garamond" w:hAnsi="Garamond"/>
          <w:sz w:val="22"/>
          <w:szCs w:val="22"/>
        </w:rPr>
      </w:pPr>
      <w:r w:rsidRPr="002B28B7">
        <w:rPr>
          <w:rFonts w:ascii="Garamond" w:hAnsi="Garamond"/>
          <w:sz w:val="22"/>
          <w:szCs w:val="22"/>
        </w:rPr>
        <w:t xml:space="preserve">1. La charge d’enseignant est spécifique : la transmission de la connaissance est un geste régalien dans notre culture démocratique, qui accompagne la prise en charge éducative des enfants et adolescents. Un regard croisé Personnels de direction et Inspecteurs prenant en compte une autoévaluation réflexive de l’enseignant, est le seul garant d’une évaluation efficace. L’évaluation pourra être réalisée à partir d’une grille de compétences à construire ; </w:t>
      </w:r>
    </w:p>
    <w:p w:rsidR="00427EA1" w:rsidRPr="002B28B7" w:rsidRDefault="00427EA1" w:rsidP="00427EA1">
      <w:pPr>
        <w:pStyle w:val="Default"/>
        <w:rPr>
          <w:rFonts w:ascii="Garamond" w:hAnsi="Garamond"/>
          <w:sz w:val="22"/>
          <w:szCs w:val="22"/>
        </w:rPr>
      </w:pPr>
      <w:r w:rsidRPr="002B28B7">
        <w:rPr>
          <w:rFonts w:ascii="Garamond" w:hAnsi="Garamond"/>
          <w:sz w:val="22"/>
          <w:szCs w:val="22"/>
        </w:rPr>
        <w:t xml:space="preserve">2. La qualité de l’enseignement dépendant avant tout de la compétence des enseignants et de leur capacité à travailler en équipe, une expertise scientifique et intellectuelle extérieure reste indispensable pour contribuer au pilotage de l’établissement, ainsi que des différentes échelles du système ; </w:t>
      </w:r>
    </w:p>
    <w:p w:rsidR="00427EA1" w:rsidRPr="002B28B7" w:rsidRDefault="00427EA1" w:rsidP="00427EA1">
      <w:pPr>
        <w:pStyle w:val="Default"/>
        <w:rPr>
          <w:rFonts w:ascii="Garamond" w:hAnsi="Garamond"/>
          <w:sz w:val="22"/>
          <w:szCs w:val="22"/>
        </w:rPr>
      </w:pPr>
      <w:r w:rsidRPr="002B28B7">
        <w:rPr>
          <w:rFonts w:ascii="Garamond" w:hAnsi="Garamond"/>
          <w:sz w:val="22"/>
          <w:szCs w:val="22"/>
        </w:rPr>
        <w:t xml:space="preserve">3. Le périmètre de l’activité professionnelle d’un enseignant dépasse le cadre de l’établissement, l’évaluation doit intégrer les missions académiques, voire nationales </w:t>
      </w:r>
    </w:p>
    <w:p w:rsidR="00427EA1" w:rsidRPr="002B28B7" w:rsidRDefault="00427EA1" w:rsidP="00427EA1">
      <w:pPr>
        <w:pStyle w:val="Default"/>
        <w:rPr>
          <w:rFonts w:ascii="Garamond" w:hAnsi="Garamond"/>
          <w:sz w:val="22"/>
          <w:szCs w:val="22"/>
        </w:rPr>
      </w:pPr>
      <w:r w:rsidRPr="002B28B7">
        <w:rPr>
          <w:rFonts w:ascii="Garamond" w:hAnsi="Garamond"/>
          <w:sz w:val="22"/>
          <w:szCs w:val="22"/>
        </w:rPr>
        <w:t xml:space="preserve">4. Une part réflexive d’autoévaluation accompagnée doit être prévue, elle constitue un support pour les entretiens avec les évaluateurs ; </w:t>
      </w:r>
    </w:p>
    <w:p w:rsidR="00427EA1" w:rsidRPr="002B28B7" w:rsidRDefault="00427EA1" w:rsidP="00427EA1">
      <w:pPr>
        <w:pStyle w:val="Default"/>
        <w:rPr>
          <w:rFonts w:ascii="Garamond" w:hAnsi="Garamond"/>
          <w:sz w:val="22"/>
          <w:szCs w:val="22"/>
        </w:rPr>
      </w:pPr>
      <w:r w:rsidRPr="002B28B7">
        <w:rPr>
          <w:rFonts w:ascii="Garamond" w:hAnsi="Garamond"/>
          <w:sz w:val="22"/>
          <w:szCs w:val="22"/>
        </w:rPr>
        <w:t xml:space="preserve">5. Il est légitime que les Personnels de direction interviennent dans l’évaluation, en particulier sur le point des fonctionnements d’équipe ainsi que des projets et activités engageant la vie de l’établissement qu’ils dirigent ; </w:t>
      </w:r>
    </w:p>
    <w:p w:rsidR="00427EA1" w:rsidRPr="002B28B7" w:rsidRDefault="00427EA1" w:rsidP="00427EA1">
      <w:pPr>
        <w:pStyle w:val="Default"/>
        <w:rPr>
          <w:rFonts w:ascii="Garamond" w:hAnsi="Garamond"/>
          <w:sz w:val="22"/>
          <w:szCs w:val="22"/>
        </w:rPr>
      </w:pPr>
      <w:bookmarkStart w:id="0" w:name="_GoBack"/>
      <w:bookmarkEnd w:id="0"/>
      <w:r w:rsidRPr="002B28B7">
        <w:rPr>
          <w:rFonts w:ascii="Garamond" w:hAnsi="Garamond"/>
          <w:sz w:val="22"/>
          <w:szCs w:val="22"/>
        </w:rPr>
        <w:t xml:space="preserve">6. L’évaluation des enseignements et des dispositifs nécessite une présence effective des inspecteurs dans les classes et les établissements incompatible avec un rythme d’inspection calqué sur la seule gestion de carrière des professeurs. Cependant, l’avis des corps d’inspection doit être sollicité à chaque moment-clé du parcours de l’enseignant (titularisation, avancement d’échelon, affectation en CPGE ou STS, avis pour les promotions de corps, …). </w:t>
      </w:r>
    </w:p>
    <w:p w:rsidR="00D47E00" w:rsidRDefault="00D47E00"/>
    <w:sectPr w:rsidR="00D47E00" w:rsidSect="00D54996">
      <w:pgSz w:w="11906" w:h="17338"/>
      <w:pgMar w:top="1842" w:right="844" w:bottom="1417" w:left="15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A1"/>
    <w:rsid w:val="002B28B7"/>
    <w:rsid w:val="00427EA1"/>
    <w:rsid w:val="00A66094"/>
    <w:rsid w:val="00D47E00"/>
    <w:rsid w:val="00EA15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27EA1"/>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EA15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15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27EA1"/>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EA15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1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360</Words>
  <Characters>2110</Characters>
  <Application>Microsoft Office Word</Application>
  <DocSecurity>0</DocSecurity>
  <Lines>40</Lines>
  <Paragraphs>20</Paragraphs>
  <ScaleCrop>false</ScaleCrop>
  <HeadingPairs>
    <vt:vector size="2" baseType="variant">
      <vt:variant>
        <vt:lpstr>Titre</vt:lpstr>
      </vt:variant>
      <vt:variant>
        <vt:i4>1</vt:i4>
      </vt:variant>
    </vt:vector>
  </HeadingPairs>
  <TitlesOfParts>
    <vt:vector size="1" baseType="lpstr">
      <vt:lpstr/>
    </vt:vector>
  </TitlesOfParts>
  <Company>Your Company Name</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cp:lastPrinted>2012-09-06T07:12:00Z</cp:lastPrinted>
  <dcterms:created xsi:type="dcterms:W3CDTF">2012-09-03T08:25:00Z</dcterms:created>
  <dcterms:modified xsi:type="dcterms:W3CDTF">2012-09-06T07:20:00Z</dcterms:modified>
</cp:coreProperties>
</file>